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C6" w:rsidRPr="00556EC6" w:rsidRDefault="00556EC6" w:rsidP="00556EC6">
      <w:pPr>
        <w:shd w:val="clear" w:color="auto" w:fill="FFFFFF"/>
        <w:spacing w:after="0" w:line="234" w:lineRule="atLeast"/>
        <w:jc w:val="right"/>
        <w:rPr>
          <w:rFonts w:ascii="Arial" w:eastAsia="Times New Roman" w:hAnsi="Arial" w:cs="Arial"/>
          <w:color w:val="000000"/>
          <w:sz w:val="18"/>
          <w:szCs w:val="18"/>
        </w:rPr>
      </w:pPr>
      <w:bookmarkStart w:id="0" w:name="chuong_pl_4"/>
      <w:r w:rsidRPr="00556EC6">
        <w:rPr>
          <w:rFonts w:ascii="Arial" w:eastAsia="Times New Roman" w:hAnsi="Arial" w:cs="Arial"/>
          <w:b/>
          <w:bCs/>
          <w:color w:val="000000"/>
          <w:sz w:val="18"/>
          <w:szCs w:val="18"/>
        </w:rPr>
        <w:t>Mẫu số: 01/QĐ-QLDA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56EC6" w:rsidRPr="00556EC6" w:rsidTr="00556EC6">
        <w:trPr>
          <w:tblCellSpacing w:w="0" w:type="dxa"/>
        </w:trPr>
        <w:tc>
          <w:tcPr>
            <w:tcW w:w="19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CHỦ ĐẦU TƯ/BQLDA</w:t>
            </w:r>
            <w:r w:rsidRPr="00556EC6">
              <w:rPr>
                <w:rFonts w:ascii="Arial" w:eastAsia="Times New Roman" w:hAnsi="Arial" w:cs="Arial"/>
                <w:b/>
                <w:bCs/>
                <w:color w:val="000000"/>
                <w:sz w:val="18"/>
                <w:szCs w:val="18"/>
              </w:rPr>
              <w:br/>
              <w:t>--------------</w:t>
            </w:r>
          </w:p>
        </w:tc>
        <w:tc>
          <w:tcPr>
            <w:tcW w:w="305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CỘNG HÒA XÃ HỘI CHỦ NGHĨA VIỆT NAM</w:t>
            </w:r>
            <w:r w:rsidRPr="00556EC6">
              <w:rPr>
                <w:rFonts w:ascii="Arial" w:eastAsia="Times New Roman" w:hAnsi="Arial" w:cs="Arial"/>
                <w:color w:val="000000"/>
                <w:sz w:val="18"/>
                <w:szCs w:val="18"/>
              </w:rPr>
              <w:br/>
            </w:r>
            <w:r w:rsidRPr="00556EC6">
              <w:rPr>
                <w:rFonts w:ascii="Arial" w:eastAsia="Times New Roman" w:hAnsi="Arial" w:cs="Arial"/>
                <w:b/>
                <w:bCs/>
                <w:color w:val="000000"/>
                <w:sz w:val="18"/>
                <w:szCs w:val="18"/>
              </w:rPr>
              <w:t>Độc lập - Tự do - Hạnh phúc</w:t>
            </w:r>
            <w:r w:rsidRPr="00556EC6">
              <w:rPr>
                <w:rFonts w:ascii="Arial" w:eastAsia="Times New Roman" w:hAnsi="Arial" w:cs="Arial"/>
                <w:b/>
                <w:bCs/>
                <w:color w:val="000000"/>
                <w:sz w:val="18"/>
                <w:szCs w:val="18"/>
              </w:rPr>
              <w:br/>
              <w:t>----------------</w:t>
            </w:r>
          </w:p>
        </w:tc>
      </w:tr>
      <w:tr w:rsidR="00556EC6" w:rsidRPr="00556EC6" w:rsidTr="00556EC6">
        <w:trPr>
          <w:tblCellSpacing w:w="0" w:type="dxa"/>
        </w:trPr>
        <w:tc>
          <w:tcPr>
            <w:tcW w:w="19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color w:val="000000"/>
                <w:sz w:val="18"/>
                <w:szCs w:val="18"/>
              </w:rPr>
              <w:t>Số: /QĐ-…</w:t>
            </w:r>
          </w:p>
        </w:tc>
        <w:tc>
          <w:tcPr>
            <w:tcW w:w="305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right"/>
              <w:rPr>
                <w:rFonts w:ascii="Arial" w:eastAsia="Times New Roman" w:hAnsi="Arial" w:cs="Arial"/>
                <w:color w:val="000000"/>
                <w:sz w:val="18"/>
                <w:szCs w:val="18"/>
              </w:rPr>
            </w:pPr>
            <w:r w:rsidRPr="00556EC6">
              <w:rPr>
                <w:rFonts w:ascii="Arial" w:eastAsia="Times New Roman" w:hAnsi="Arial" w:cs="Arial"/>
                <w:i/>
                <w:iCs/>
                <w:color w:val="000000"/>
                <w:sz w:val="18"/>
                <w:szCs w:val="18"/>
              </w:rPr>
              <w:t>…….., ngày tháng năm</w:t>
            </w:r>
          </w:p>
        </w:tc>
      </w:tr>
    </w:tbl>
    <w:p w:rsidR="00556EC6" w:rsidRPr="00556EC6" w:rsidRDefault="00556EC6" w:rsidP="00556EC6">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556EC6">
        <w:rPr>
          <w:rFonts w:ascii="Arial" w:eastAsia="Times New Roman" w:hAnsi="Arial" w:cs="Arial"/>
          <w:b/>
          <w:bCs/>
          <w:color w:val="000000"/>
          <w:sz w:val="18"/>
          <w:szCs w:val="18"/>
        </w:rPr>
        <w:t>QUYẾT ĐỊNH</w:t>
      </w:r>
      <w:bookmarkEnd w:id="1"/>
    </w:p>
    <w:p w:rsidR="00556EC6" w:rsidRPr="00556EC6" w:rsidRDefault="00556EC6" w:rsidP="00556EC6">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556EC6">
        <w:rPr>
          <w:rFonts w:ascii="Arial" w:eastAsia="Times New Roman" w:hAnsi="Arial" w:cs="Arial"/>
          <w:b/>
          <w:bCs/>
          <w:color w:val="000000"/>
          <w:sz w:val="18"/>
          <w:szCs w:val="18"/>
        </w:rPr>
        <w:t xml:space="preserve">V/v Phê duyệt dự toán </w:t>
      </w:r>
      <w:proofErr w:type="gramStart"/>
      <w:r w:rsidRPr="00556EC6">
        <w:rPr>
          <w:rFonts w:ascii="Arial" w:eastAsia="Times New Roman" w:hAnsi="Arial" w:cs="Arial"/>
          <w:b/>
          <w:bCs/>
          <w:color w:val="000000"/>
          <w:sz w:val="18"/>
          <w:szCs w:val="18"/>
        </w:rPr>
        <w:t>thu</w:t>
      </w:r>
      <w:proofErr w:type="gramEnd"/>
      <w:r w:rsidRPr="00556EC6">
        <w:rPr>
          <w:rFonts w:ascii="Arial" w:eastAsia="Times New Roman" w:hAnsi="Arial" w:cs="Arial"/>
          <w:b/>
          <w:bCs/>
          <w:color w:val="000000"/>
          <w:sz w:val="18"/>
          <w:szCs w:val="18"/>
        </w:rPr>
        <w:t>, chi năm...</w:t>
      </w:r>
      <w:bookmarkEnd w:id="2"/>
    </w:p>
    <w:p w:rsidR="00556EC6" w:rsidRPr="00556EC6" w:rsidRDefault="00556EC6" w:rsidP="00556EC6">
      <w:pPr>
        <w:shd w:val="clear" w:color="auto" w:fill="FFFFFF"/>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THỦ TRƯỞNG CHỦ ĐẦU TƯ PHÊ DUYỆT</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Căn cứ………………</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Căn cứ Thông tư số 70/2024/TT-BTC ngày 01/10/2024 của Bộ trưởng Bộ Tài chính quy định về quản lý, sử dụng các khoản thu từ hoạt động tư vấn, quản lý dự án của các chủ đầu tư, ban quản lý dự án sử dụng vốn ngân sách nhà nước;</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 xml:space="preserve">Theo đề nghị </w:t>
      </w:r>
      <w:proofErr w:type="gramStart"/>
      <w:r w:rsidRPr="00556EC6">
        <w:rPr>
          <w:rFonts w:ascii="Arial" w:eastAsia="Times New Roman" w:hAnsi="Arial" w:cs="Arial"/>
          <w:i/>
          <w:iCs/>
          <w:color w:val="000000"/>
          <w:sz w:val="18"/>
          <w:szCs w:val="18"/>
        </w:rPr>
        <w:t>của ....</w:t>
      </w:r>
      <w:proofErr w:type="gramEnd"/>
    </w:p>
    <w:p w:rsidR="00556EC6" w:rsidRPr="00556EC6" w:rsidRDefault="00556EC6" w:rsidP="00556EC6">
      <w:pPr>
        <w:shd w:val="clear" w:color="auto" w:fill="FFFFFF"/>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QUYẾT ĐỊNH: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rPr>
        <w:t>Điều 1:</w:t>
      </w:r>
      <w:r w:rsidRPr="00556EC6">
        <w:rPr>
          <w:rFonts w:ascii="Arial" w:eastAsia="Times New Roman" w:hAnsi="Arial" w:cs="Arial"/>
          <w:color w:val="000000"/>
          <w:sz w:val="18"/>
          <w:szCs w:val="18"/>
        </w:rPr>
        <w:t xml:space="preserve"> Duyệt dự toán </w:t>
      </w:r>
      <w:proofErr w:type="gramStart"/>
      <w:r w:rsidRPr="00556EC6">
        <w:rPr>
          <w:rFonts w:ascii="Arial" w:eastAsia="Times New Roman" w:hAnsi="Arial" w:cs="Arial"/>
          <w:color w:val="000000"/>
          <w:sz w:val="18"/>
          <w:szCs w:val="18"/>
        </w:rPr>
        <w:t>thu</w:t>
      </w:r>
      <w:proofErr w:type="gramEnd"/>
      <w:r w:rsidRPr="00556EC6">
        <w:rPr>
          <w:rFonts w:ascii="Arial" w:eastAsia="Times New Roman" w:hAnsi="Arial" w:cs="Arial"/>
          <w:color w:val="000000"/>
          <w:sz w:val="18"/>
          <w:szCs w:val="18"/>
        </w:rPr>
        <w:t>, chi năm....</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Chủ đầu tư (hoặc Ban quản lý dự án)...</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Giá trị dự toán được duyệt như sau:</w:t>
      </w:r>
    </w:p>
    <w:p w:rsidR="00556EC6" w:rsidRPr="00556EC6" w:rsidRDefault="00556EC6" w:rsidP="00556EC6">
      <w:pPr>
        <w:shd w:val="clear" w:color="auto" w:fill="FFFFFF"/>
        <w:spacing w:before="120" w:after="120" w:line="234" w:lineRule="atLeast"/>
        <w:jc w:val="right"/>
        <w:rPr>
          <w:rFonts w:ascii="Arial" w:eastAsia="Times New Roman" w:hAnsi="Arial" w:cs="Arial"/>
          <w:color w:val="000000"/>
          <w:sz w:val="18"/>
          <w:szCs w:val="18"/>
        </w:rPr>
      </w:pPr>
      <w:r w:rsidRPr="00556EC6">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567"/>
        <w:gridCol w:w="4905"/>
        <w:gridCol w:w="1039"/>
        <w:gridCol w:w="943"/>
        <w:gridCol w:w="943"/>
        <w:gridCol w:w="943"/>
      </w:tblGrid>
      <w:tr w:rsidR="00556EC6" w:rsidRPr="00556EC6" w:rsidTr="00556EC6">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Số TT</w:t>
            </w:r>
          </w:p>
        </w:tc>
        <w:tc>
          <w:tcPr>
            <w:tcW w:w="26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Nội dung</w:t>
            </w:r>
          </w:p>
        </w:tc>
        <w:tc>
          <w:tcPr>
            <w:tcW w:w="5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số</w:t>
            </w:r>
          </w:p>
        </w:tc>
        <w:tc>
          <w:tcPr>
            <w:tcW w:w="10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Trong đó</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Ghi chú</w:t>
            </w:r>
          </w:p>
        </w:tc>
      </w:tr>
      <w:tr w:rsidR="00556EC6" w:rsidRPr="00556EC6" w:rsidTr="00556EC6">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Dự án được giao quản lý</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Thu hợp pháp khác của đơn vị</w:t>
            </w: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3=4+5</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6</w:t>
            </w: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PHẦN THU</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cộng: </w:t>
            </w:r>
            <w:r w:rsidRPr="00556EC6">
              <w:rPr>
                <w:rFonts w:ascii="Times New Roman" w:eastAsia="Times New Roman" w:hAnsi="Times New Roman" w:cs="Times New Roman"/>
                <w:b/>
                <w:bCs/>
                <w:sz w:val="24"/>
                <w:szCs w:val="24"/>
                <w:vertAlign w:val="superscript"/>
              </w:rPr>
              <w:t>(1)</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thu năm trước chuyển sang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i/>
                <w:iCs/>
                <w:sz w:val="24"/>
                <w:szCs w:val="24"/>
              </w:rPr>
              <w:t>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trích từ các dự án được giao quản lý</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Dự án bổ sung trong năm (nếu có)</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thu hợp pháp khác của đơn vị</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NSNN hỗ trợ (nếu có)</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B</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PHẦN CHI </w:t>
            </w:r>
            <w:r w:rsidRPr="00556EC6">
              <w:rPr>
                <w:rFonts w:ascii="Times New Roman" w:eastAsia="Times New Roman" w:hAnsi="Times New Roman" w:cs="Times New Roman"/>
                <w:b/>
                <w:bCs/>
                <w:sz w:val="24"/>
                <w:szCs w:val="24"/>
                <w:vertAlign w:val="superscript"/>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cộng </w:t>
            </w:r>
            <w:r w:rsidRPr="00556EC6">
              <w:rPr>
                <w:rFonts w:ascii="Times New Roman" w:eastAsia="Times New Roman" w:hAnsi="Times New Roman" w:cs="Times New Roman"/>
                <w:b/>
                <w:bCs/>
                <w:sz w:val="24"/>
                <w:szCs w:val="24"/>
                <w:vertAlign w:val="superscript"/>
              </w:rPr>
              <w:t>(3)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Tiền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Các khoản phụ cấp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Các khoản trích nộp theo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Khen thưởng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Phúc lợi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6</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Thanh toán dịch vụ</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7</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Mua vật tư văn phòng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8</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Thanh toán thông tin, tuyên truyền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9</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Hội nghị</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10</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Công tác phí</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Thuê mướn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Đoàn đi công tác nước ngoài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Đoàn vào</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Sửa chữa thường xuyên tài sản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Mua sắm tài sản phục vụ quản lý</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16</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Khác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17</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Dự phòng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bl>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rPr>
        <w:t>Điều 2: </w:t>
      </w:r>
      <w:r w:rsidRPr="00556EC6">
        <w:rPr>
          <w:rFonts w:ascii="Arial" w:eastAsia="Times New Roman" w:hAnsi="Arial" w:cs="Arial"/>
          <w:color w:val="000000"/>
          <w:sz w:val="18"/>
          <w:szCs w:val="18"/>
        </w:rPr>
        <w:t>Chủ đầu tư, Giám đốc BQLDA, cơ quan kiểm soát, thanh toán </w:t>
      </w:r>
      <w:r w:rsidRPr="00556EC6">
        <w:rPr>
          <w:rFonts w:ascii="Arial" w:eastAsia="Times New Roman" w:hAnsi="Arial" w:cs="Arial"/>
          <w:i/>
          <w:iCs/>
          <w:color w:val="000000"/>
          <w:sz w:val="18"/>
          <w:szCs w:val="18"/>
        </w:rPr>
        <w:t>(cụ thể tên cơ quan)</w:t>
      </w:r>
      <w:r w:rsidRPr="00556EC6">
        <w:rPr>
          <w:rFonts w:ascii="Arial" w:eastAsia="Times New Roman" w:hAnsi="Arial" w:cs="Arial"/>
          <w:color w:val="000000"/>
          <w:sz w:val="18"/>
          <w:szCs w:val="18"/>
        </w:rPr>
        <w:t> và các đơn vị có liên quan </w:t>
      </w:r>
      <w:r w:rsidRPr="00556EC6">
        <w:rPr>
          <w:rFonts w:ascii="Arial" w:eastAsia="Times New Roman" w:hAnsi="Arial" w:cs="Arial"/>
          <w:i/>
          <w:iCs/>
          <w:color w:val="000000"/>
          <w:sz w:val="18"/>
          <w:szCs w:val="18"/>
        </w:rPr>
        <w:t>(chi tiết các tên đơn vị liên quan) </w:t>
      </w:r>
      <w:r w:rsidRPr="00556EC6">
        <w:rPr>
          <w:rFonts w:ascii="Arial" w:eastAsia="Times New Roman" w:hAnsi="Arial" w:cs="Arial"/>
          <w:color w:val="000000"/>
          <w:sz w:val="18"/>
          <w:szCs w:val="18"/>
        </w:rPr>
        <w:t>chịu trách nhiệm thi hành Quyết định này</w:t>
      </w:r>
      <w:proofErr w:type="gramStart"/>
      <w:r w:rsidRPr="00556EC6">
        <w:rPr>
          <w:rFonts w:ascii="Arial" w:eastAsia="Times New Roman" w:hAnsi="Arial" w:cs="Arial"/>
          <w:color w:val="000000"/>
          <w:sz w:val="18"/>
          <w:szCs w:val="18"/>
        </w:rPr>
        <w:t>./</w:t>
      </w:r>
      <w:proofErr w:type="gramEnd"/>
      <w:r w:rsidRPr="00556EC6">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56EC6" w:rsidRPr="00556EC6" w:rsidTr="00556EC6">
        <w:trPr>
          <w:tblCellSpacing w:w="0" w:type="dxa"/>
        </w:trPr>
        <w:tc>
          <w:tcPr>
            <w:tcW w:w="25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i/>
                <w:iCs/>
                <w:color w:val="000000"/>
                <w:sz w:val="18"/>
                <w:szCs w:val="18"/>
              </w:rPr>
              <w:t>Nơi nhận:</w:t>
            </w:r>
            <w:r w:rsidRPr="00556EC6">
              <w:rPr>
                <w:rFonts w:ascii="Arial" w:eastAsia="Times New Roman" w:hAnsi="Arial" w:cs="Arial"/>
                <w:b/>
                <w:bCs/>
                <w:i/>
                <w:iCs/>
                <w:color w:val="000000"/>
                <w:sz w:val="18"/>
                <w:szCs w:val="18"/>
              </w:rPr>
              <w:br/>
            </w:r>
            <w:r w:rsidRPr="00556EC6">
              <w:rPr>
                <w:rFonts w:ascii="Arial" w:eastAsia="Times New Roman" w:hAnsi="Arial" w:cs="Arial"/>
                <w:color w:val="000000"/>
                <w:sz w:val="18"/>
                <w:szCs w:val="18"/>
              </w:rPr>
              <w:t>- Như Điều 2;</w:t>
            </w:r>
            <w:r w:rsidRPr="00556EC6">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THỦ TRƯỞNG</w:t>
            </w:r>
            <w:r w:rsidRPr="00556EC6">
              <w:rPr>
                <w:rFonts w:ascii="Arial" w:eastAsia="Times New Roman" w:hAnsi="Arial" w:cs="Arial"/>
                <w:b/>
                <w:bCs/>
                <w:color w:val="000000"/>
                <w:sz w:val="18"/>
                <w:szCs w:val="18"/>
              </w:rPr>
              <w:br/>
            </w:r>
            <w:r w:rsidRPr="00556EC6">
              <w:rPr>
                <w:rFonts w:ascii="Arial" w:eastAsia="Times New Roman" w:hAnsi="Arial" w:cs="Arial"/>
                <w:i/>
                <w:iCs/>
                <w:color w:val="000000"/>
                <w:sz w:val="18"/>
                <w:szCs w:val="18"/>
              </w:rPr>
              <w:t>(Ký, đóng dấu, ghi rõ họ tên)</w:t>
            </w:r>
          </w:p>
        </w:tc>
      </w:tr>
    </w:tbl>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i/>
          <w:iCs/>
          <w:color w:val="000000"/>
          <w:sz w:val="18"/>
          <w:szCs w:val="18"/>
        </w:rPr>
        <w:t>Ghi chú:</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t>(1)</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Trường hợp phát sinh tỷ lệ trích chi phí QLDA cho chủ đầu tư thì ghi rõ phần chủ đầu tư được hưởng, phần BQLDA được hưởng trong năm kế hoạch.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t>(2)</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Trường hợp phát sinh chi phí QLDA của chủ đầu tư như điểm </w:t>
      </w:r>
      <w:r w:rsidRPr="00556EC6">
        <w:rPr>
          <w:rFonts w:ascii="Arial" w:eastAsia="Times New Roman" w:hAnsi="Arial" w:cs="Arial"/>
          <w:b/>
          <w:bCs/>
          <w:color w:val="000000"/>
          <w:sz w:val="18"/>
          <w:szCs w:val="18"/>
        </w:rPr>
        <w:t>(1)</w:t>
      </w:r>
      <w:r w:rsidRPr="00556EC6">
        <w:rPr>
          <w:rFonts w:ascii="Arial" w:eastAsia="Times New Roman" w:hAnsi="Arial" w:cs="Arial"/>
          <w:color w:val="000000"/>
          <w:sz w:val="18"/>
          <w:szCs w:val="18"/>
        </w:rPr>
        <w:t xml:space="preserve"> nêu trên thì trong dự toán chi ghi một dòng cho phần trích chuyển chủ đầu </w:t>
      </w:r>
      <w:proofErr w:type="gramStart"/>
      <w:r w:rsidRPr="00556EC6">
        <w:rPr>
          <w:rFonts w:ascii="Arial" w:eastAsia="Times New Roman" w:hAnsi="Arial" w:cs="Arial"/>
          <w:color w:val="000000"/>
          <w:sz w:val="18"/>
          <w:szCs w:val="18"/>
        </w:rPr>
        <w:t>tư</w:t>
      </w:r>
      <w:proofErr w:type="gramEnd"/>
      <w:r w:rsidRPr="00556EC6">
        <w:rPr>
          <w:rFonts w:ascii="Arial" w:eastAsia="Times New Roman" w:hAnsi="Arial" w:cs="Arial"/>
          <w:color w:val="000000"/>
          <w:sz w:val="18"/>
          <w:szCs w:val="18"/>
        </w:rPr>
        <w:t>.</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lastRenderedPageBreak/>
        <w:t>(3)</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Tổng chi của BQLDA thực hiện trong năm kế hoạch.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 xml:space="preserve">- Chi Khen thưởng (Số TT 4 phần B): Thực hiện </w:t>
      </w:r>
      <w:proofErr w:type="gramStart"/>
      <w:r w:rsidRPr="00556EC6">
        <w:rPr>
          <w:rFonts w:ascii="Arial" w:eastAsia="Times New Roman" w:hAnsi="Arial" w:cs="Arial"/>
          <w:color w:val="000000"/>
          <w:sz w:val="18"/>
          <w:szCs w:val="18"/>
        </w:rPr>
        <w:t>theo</w:t>
      </w:r>
      <w:proofErr w:type="gramEnd"/>
      <w:r w:rsidRPr="00556EC6">
        <w:rPr>
          <w:rFonts w:ascii="Arial" w:eastAsia="Times New Roman" w:hAnsi="Arial" w:cs="Arial"/>
          <w:color w:val="000000"/>
          <w:sz w:val="18"/>
          <w:szCs w:val="18"/>
        </w:rPr>
        <w:t xml:space="preserve"> pháp luật về thi đua khen thưởng.</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 xml:space="preserve">- Chi Phúc lợi (Số TT 5 phần B): Thực hiện </w:t>
      </w:r>
      <w:proofErr w:type="gramStart"/>
      <w:r w:rsidRPr="00556EC6">
        <w:rPr>
          <w:rFonts w:ascii="Arial" w:eastAsia="Times New Roman" w:hAnsi="Arial" w:cs="Arial"/>
          <w:color w:val="000000"/>
          <w:sz w:val="18"/>
          <w:szCs w:val="18"/>
        </w:rPr>
        <w:t>theo</w:t>
      </w:r>
      <w:proofErr w:type="gramEnd"/>
      <w:r w:rsidRPr="00556EC6">
        <w:rPr>
          <w:rFonts w:ascii="Arial" w:eastAsia="Times New Roman" w:hAnsi="Arial" w:cs="Arial"/>
          <w:color w:val="000000"/>
          <w:sz w:val="18"/>
          <w:szCs w:val="18"/>
        </w:rPr>
        <w:t xml:space="preserve"> pháp luật về phúc lợi tập thể.</w:t>
      </w:r>
    </w:p>
    <w:p w:rsidR="005B6519" w:rsidRDefault="00556EC6">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C6"/>
    <w:rsid w:val="00233F69"/>
    <w:rsid w:val="00543B0B"/>
    <w:rsid w:val="0055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A783-7CCE-49A0-91FF-5C59505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E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2024-10-16T18:39:00Z</dcterms:created>
  <dcterms:modified xsi:type="dcterms:W3CDTF">2024-10-16T18:39:00Z</dcterms:modified>
</cp:coreProperties>
</file>